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2A4A"/>
          <w:sz w:val="36"/>
        </w:rPr>
        <w:t>Executive Brief: Service Request Improvement Project</w:t>
      </w:r>
    </w:p>
    <w:p>
      <w:r>
        <w:rPr>
          <w:i/>
          <w:color w:val="0B6E6E"/>
          <w:sz w:val="19"/>
        </w:rPr>
        <w:t>Prepared for: Renata Vossberg, Department Director · Prepared by: Jordan Ekwueme, Senior Analyst · August 29, 2026 · Phase 1 (Diagnosis) findings</w:t>
      </w:r>
    </w:p>
    <w:p>
      <w:pPr>
        <w:spacing w:before="200"/>
      </w:pPr>
      <w:r>
        <w:rPr>
          <w:b/>
          <w:color w:val="1B2A4A"/>
          <w:sz w:val="26"/>
        </w:rPr>
        <w:t>Purpose</w:t>
      </w:r>
    </w:p>
    <w:p>
      <w:r>
        <w:t>This brief summarizes what Phase 1 learned about the growth in the service-request backlog and proposes options for Phase 2. It is a briefing, not a decision document.</w:t>
      </w:r>
    </w:p>
    <w:p>
      <w:pPr>
        <w:spacing w:before="200"/>
      </w:pPr>
      <w:r>
        <w:rPr>
          <w:b/>
          <w:color w:val="1B2A4A"/>
          <w:sz w:val="26"/>
        </w:rPr>
        <w:t>Findings</w:t>
      </w:r>
    </w:p>
    <w:p>
      <w:pPr>
        <w:pStyle w:val="ListNumber"/>
      </w:pPr>
      <w:r>
        <w:t>The backlog doubled in five months. Open requests at the end of the month rose from 135 in January 2026 to 270 in May 2026.</w:t>
      </w:r>
    </w:p>
    <w:p>
      <w:pPr>
        <w:pStyle w:val="ListNumber"/>
      </w:pPr>
      <w:r>
        <w:t>Residents are waiting longer. Average days to resolve rose from 6.1 days in January to 8.4 days in June 2026.</w:t>
      </w:r>
    </w:p>
    <w:p>
      <w:pPr>
        <w:pStyle w:val="ListNumber"/>
      </w:pPr>
      <w:r>
        <w:t>Many requests start in the wrong place. In a sample of 300 requests from April and May, 31 percent were first routed to the wrong unit and had to be re-routed, adding an estimated 1 to 2 days each. This is a sample estimate, not a count of all requests.</w:t>
      </w:r>
    </w:p>
    <w:p>
      <w:r>
        <w:t>June was an exception: staff completed more requests than were received (completion rate above 100 percent) by clearing older requests during a focused effort, so the backlog fell in June.</w:t>
      </w:r>
    </w:p>
    <w:p>
      <w:pPr>
        <w:spacing w:before="200"/>
      </w:pPr>
      <w:r>
        <w:rPr>
          <w:b/>
          <w:color w:val="1B2A4A"/>
          <w:sz w:val="26"/>
        </w:rPr>
        <w:t>Recommendations</w:t>
      </w:r>
    </w:p>
    <w:p>
      <w:pPr>
        <w:pStyle w:val="ListNumber"/>
      </w:pPr>
      <w:r>
        <w:t>Add a single intake triage step so each request is routed to the right unit the first time.</w:t>
      </w:r>
    </w:p>
    <w:p>
      <w:pPr>
        <w:pStyle w:val="ListNumber"/>
      </w:pPr>
      <w:r>
        <w:t>Publish a weekly backlog report to unit supervisors.</w:t>
      </w:r>
    </w:p>
    <w:p>
      <w:pPr>
        <w:pStyle w:val="ListNumber"/>
      </w:pPr>
      <w:r>
        <w:t>Send residents a plain-language status update when a request is acknowledged and when it is extended.</w:t>
      </w:r>
    </w:p>
    <w:p>
      <w:pPr>
        <w:spacing w:before="200"/>
      </w:pPr>
      <w:r>
        <w:rPr>
          <w:b/>
          <w:color w:val="1B2A4A"/>
          <w:sz w:val="26"/>
        </w:rPr>
        <w:t>Risks</w:t>
      </w:r>
    </w:p>
    <w:p>
      <w:pPr>
        <w:pStyle w:val="ListBullet"/>
      </w:pPr>
      <w:r>
        <w:t>Staffing: 4 of 22 positions are vacant; triage may move workload rather than reduce it.</w:t>
      </w:r>
    </w:p>
    <w:p>
      <w:pPr>
        <w:pStyle w:val="ListBullet"/>
      </w:pPr>
      <w:r>
        <w:t>Data quality: August data will be incomplete because of the planned case-system migration.</w:t>
      </w:r>
    </w:p>
    <w:p>
      <w:pPr>
        <w:pStyle w:val="ListBullet"/>
      </w:pPr>
      <w:r>
        <w:t>Equity: residents who do not use the online portal may not benefit equally from portal-based status updates.</w:t>
      </w:r>
    </w:p>
    <w:p>
      <w:pPr>
        <w:spacing w:before="200"/>
      </w:pPr>
      <w:r>
        <w:rPr>
          <w:b/>
          <w:color w:val="1B2A4A"/>
          <w:sz w:val="26"/>
        </w:rPr>
        <w:t>Next steps</w:t>
      </w:r>
    </w:p>
    <w:p>
      <w:pPr>
        <w:pStyle w:val="ListBullet"/>
      </w:pPr>
      <w:r>
        <w:t>Phase 2 (Design): September and October 2026.</w:t>
      </w:r>
    </w:p>
    <w:p>
      <w:pPr>
        <w:pStyle w:val="ListBullet"/>
      </w:pPr>
      <w:r>
        <w:t>Proposed pilot: November 2026 through January 2027, if approved by the Department Director.</w:t>
      </w:r>
    </w:p>
    <w:p>
      <w:pPr>
        <w:pStyle w:val="ListBullet"/>
      </w:pPr>
      <w:r>
        <w:t>Results review: February 2027.</w:t>
      </w:r>
    </w:p>
    <w:p>
      <w:r>
        <w:rPr>
          <w:i/>
          <w:sz w:val="20"/>
        </w:rPr>
        <w:t>Note: This brief does not set deadlines. Response deadlines are set only by Procedure SR-100.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B6E6E"/>
        <w:sz w:val="16"/>
      </w:rPr>
      <w:t>City of Fernhollow, Department of Resident Services (fictional) · Training file 05 · CPS HR Copilot workshop practice packet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B4452F"/>
        <w:sz w:val="16"/>
      </w:rPr>
      <w:t>FICTIONAL TRAINING FILE - The City of Fernhollow, its staff, residents and data are invented for the CPS HR Microsoft 365 Copilot workshop. Do not use real work data.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