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SR-100 Draft Section: Response, Extensions and Escalation</w:t>
      </w:r>
    </w:p>
    <w:p>
      <w:r>
        <w:rPr>
          <w:i/>
          <w:color w:val="0B6E6E"/>
          <w:sz w:val="19"/>
        </w:rPr>
        <w:t>Version 3 · Revised June 17, 2026 · Status: final review draft</w:t>
      </w:r>
    </w:p>
    <w:p>
      <w:r>
        <w:t>A. The Assigned Case Worker replies to each non-emergency request within 5 business days of receipt.</w:t>
      </w:r>
    </w:p>
    <w:p>
      <w:r>
        <w:t>B. The deadline may be extended by up to 10 business days when the request requires a site visit. The Unit Supervisor must approve each extension in writing before the original deadline passes.</w:t>
      </w:r>
    </w:p>
    <w:p>
      <w:r>
        <w:t>C. The resident is notified in writing about any extension, the reason for it, and the new date.</w:t>
      </w:r>
    </w:p>
    <w:p>
      <w:r>
        <w:t>D. Requests that are not resolved within 15 business days are sent to the Unit Supervisor for review. The Unit Supervisor approves any escalation to the Division Manager.</w:t>
      </w:r>
    </w:p>
    <w:p>
      <w:r>
        <w:t>F. Staff should aim to resolve requests on first contact whenever possible.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10 v3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