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Staffing and Workload Note</w:t>
      </w:r>
    </w:p>
    <w:p>
      <w:r>
        <w:rPr>
          <w:i/>
          <w:color w:val="0B6E6E"/>
          <w:sz w:val="19"/>
        </w:rPr>
        <w:t>From: Priya Halvorsen, Unit Supervisor · September 30, 2026</w:t>
      </w:r>
    </w:p>
    <w:p>
      <w:r>
        <w:t>Resident Services has 22 authorized positions; 4 are vacant as of September 30, 2026. Two recruitments are open.</w:t>
      </w:r>
    </w:p>
    <w:p>
      <w:r>
        <w:t>In my staff interviews, intake staff estimated that 'about a quarter' of requests are sent to the wrong unit first. This is lower than the 31 percent in the executive brief sample; the two were measured differently.</w:t>
      </w:r>
    </w:p>
    <w:p>
      <w:r>
        <w:t>If a triage step is piloted, it would likely need two trained staff per shift, which may not be possible until vacancies are filled.</w:t>
      </w:r>
    </w:p>
    <w:p>
      <w:r>
        <w:t>Recommendation: start the pilot in one or two units only.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12D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